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D1C317" w14:textId="6CD244B8" w:rsidR="003F0E51" w:rsidRPr="005863DA" w:rsidRDefault="00D1741D" w:rsidP="005863DA">
      <w:pPr>
        <w:spacing w:before="120" w:after="12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5863DA">
        <w:rPr>
          <w:rFonts w:ascii="Times New Roman" w:hAnsi="Times New Roman" w:cs="Times New Roman"/>
          <w:b/>
          <w:bCs/>
          <w:sz w:val="24"/>
          <w:szCs w:val="24"/>
        </w:rPr>
        <w:t xml:space="preserve">Supplementary File </w:t>
      </w:r>
      <w:r w:rsidR="00AB51AB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Pr="005863DA">
        <w:rPr>
          <w:rFonts w:ascii="Times New Roman" w:hAnsi="Times New Roman" w:cs="Times New Roman"/>
          <w:b/>
          <w:bCs/>
          <w:sz w:val="24"/>
          <w:szCs w:val="24"/>
        </w:rPr>
        <w:t>: Additional Figures</w:t>
      </w:r>
    </w:p>
    <w:p w14:paraId="1430BF44" w14:textId="77777777" w:rsidR="006E3D9C" w:rsidRPr="005863DA" w:rsidRDefault="006E3D9C" w:rsidP="005863DA">
      <w:pPr>
        <w:spacing w:before="120" w:after="12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407FB7C" w14:textId="77777777" w:rsidR="006E3D9C" w:rsidRPr="005863DA" w:rsidRDefault="006E3D9C" w:rsidP="005863D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</w:pPr>
      <w:r w:rsidRPr="005863DA">
        <w:rPr>
          <w:rFonts w:ascii="Times New Roman" w:eastAsia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 wp14:anchorId="5ACE85DA" wp14:editId="3FF1D403">
            <wp:extent cx="8862282" cy="3476531"/>
            <wp:effectExtent l="0" t="0" r="0" b="0"/>
            <wp:docPr id="1077352959" name="Imagem 1" descr="Gráfico&#10;&#10;Descrição gerada automaticamente com confiança baix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352959" name="Imagem 1" descr="Gráfico&#10;&#10;Descrição gerada automaticamente com confiança baixa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77758" cy="3482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780D1" w14:textId="04858B80" w:rsidR="006E3D9C" w:rsidRPr="005863DA" w:rsidRDefault="000D460C" w:rsidP="005863D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</w:pPr>
      <w:r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Supplementary Figure </w:t>
      </w:r>
      <w:r w:rsidR="006E3D9C"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1</w:t>
      </w:r>
      <w:r w:rsidR="006E3D9C" w:rsidRPr="005863DA">
        <w:rPr>
          <w:rFonts w:ascii="Times New Roman" w:eastAsia="Times New Roman" w:hAnsi="Times New Roman" w:cs="Times New Roman"/>
          <w:b/>
          <w:bCs/>
          <w:sz w:val="24"/>
          <w:szCs w:val="24"/>
          <w:lang w:val="en-GB" w:eastAsia="en-GB"/>
        </w:rPr>
        <w:t xml:space="preserve"> -</w:t>
      </w:r>
      <w:r w:rsidR="006E3D9C"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 Results from X-Ray powder diffraction confirming the presence of sanidine on trachyte sample RGR1-D08-002.</w:t>
      </w:r>
    </w:p>
    <w:p w14:paraId="6F25A84E" w14:textId="77777777" w:rsidR="006E3D9C" w:rsidRPr="005863DA" w:rsidRDefault="006E3D9C" w:rsidP="005863D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</w:pPr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br w:type="page"/>
      </w:r>
    </w:p>
    <w:p w14:paraId="12B6B9D1" w14:textId="77777777" w:rsidR="006E3D9C" w:rsidRPr="005863DA" w:rsidRDefault="006E3D9C" w:rsidP="005863D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</w:pPr>
    </w:p>
    <w:p w14:paraId="0703359C" w14:textId="77777777" w:rsidR="006E3D9C" w:rsidRPr="005863DA" w:rsidRDefault="006E3D9C" w:rsidP="005863D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</w:pPr>
      <w:r w:rsidRPr="005863DA">
        <w:rPr>
          <w:rFonts w:ascii="Times New Roman" w:eastAsia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 wp14:anchorId="3B5F4C6F" wp14:editId="520413E4">
            <wp:extent cx="8886177" cy="3639493"/>
            <wp:effectExtent l="0" t="0" r="0" b="0"/>
            <wp:docPr id="1388477522" name="Imagem 2" descr="Gráfi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477522" name="Imagem 2" descr="Gráfico&#10;&#10;Descrição gerada automaticamente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7695" cy="3644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C5B5E" w14:textId="77777777" w:rsidR="006E3D9C" w:rsidRPr="005863DA" w:rsidRDefault="006E3D9C" w:rsidP="005863D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</w:pPr>
    </w:p>
    <w:p w14:paraId="3DB9F9BE" w14:textId="34A4932A" w:rsidR="006E3D9C" w:rsidRPr="005863DA" w:rsidRDefault="000D460C" w:rsidP="005863DA">
      <w:pPr>
        <w:spacing w:before="120" w:after="120" w:line="240" w:lineRule="auto"/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</w:pPr>
      <w:r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Supplementary Figure 2 </w:t>
      </w:r>
      <w:r w:rsidR="006E3D9C" w:rsidRPr="005863DA">
        <w:rPr>
          <w:rFonts w:ascii="Times New Roman" w:eastAsia="Times New Roman" w:hAnsi="Times New Roman" w:cs="Times New Roman"/>
          <w:b/>
          <w:bCs/>
          <w:sz w:val="24"/>
          <w:szCs w:val="24"/>
          <w:lang w:val="en-GB" w:eastAsia="en-GB"/>
        </w:rPr>
        <w:t>-</w:t>
      </w:r>
      <w:r w:rsidR="006E3D9C"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 Results from X-Ray powder diffraction confirming the presence of sanidine on trachyte sample RGR1-D08-003.</w:t>
      </w:r>
      <w:r w:rsidR="006E3D9C"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br w:type="page"/>
      </w:r>
    </w:p>
    <w:p w14:paraId="22AECAA3" w14:textId="77777777" w:rsidR="006E3D9C" w:rsidRPr="005863DA" w:rsidRDefault="006E3D9C" w:rsidP="005863D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</w:pPr>
    </w:p>
    <w:p w14:paraId="26A0962C" w14:textId="77777777" w:rsidR="006E3D9C" w:rsidRPr="005863DA" w:rsidRDefault="006E3D9C" w:rsidP="005863D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</w:pPr>
      <w:r w:rsidRPr="005863DA">
        <w:rPr>
          <w:rFonts w:ascii="Times New Roman" w:eastAsia="Times New Roman" w:hAnsi="Times New Roman" w:cs="Times New Roman"/>
          <w:noProof/>
          <w:sz w:val="24"/>
          <w:szCs w:val="24"/>
          <w:lang w:val="en-GB" w:eastAsia="en-GB"/>
        </w:rPr>
        <w:drawing>
          <wp:inline distT="0" distB="0" distL="0" distR="0" wp14:anchorId="017BFC4E" wp14:editId="0C8AF416">
            <wp:extent cx="8827129" cy="3611902"/>
            <wp:effectExtent l="0" t="0" r="0" b="7620"/>
            <wp:docPr id="1834248089" name="Imagem 3" descr="Tela de computador com texto preto sobre fundo branco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248089" name="Imagem 3" descr="Tela de computador com texto preto sobre fundo branco&#10;&#10;Descrição gerada automaticamente com confiança média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55723" cy="3623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DF058" w14:textId="0941FE78" w:rsidR="006E3D9C" w:rsidRPr="005863DA" w:rsidRDefault="000D460C" w:rsidP="005863D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</w:pPr>
      <w:r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Supplementary Figure 3 </w:t>
      </w:r>
      <w:r w:rsidR="006E3D9C" w:rsidRPr="005863DA">
        <w:rPr>
          <w:rFonts w:ascii="Times New Roman" w:eastAsia="Times New Roman" w:hAnsi="Times New Roman" w:cs="Times New Roman"/>
          <w:b/>
          <w:bCs/>
          <w:sz w:val="24"/>
          <w:szCs w:val="24"/>
          <w:lang w:val="en-GB" w:eastAsia="en-GB"/>
        </w:rPr>
        <w:t>-</w:t>
      </w:r>
      <w:r w:rsidR="006E3D9C"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 Results from X-Ray powder diffraction confirming the presence of sanidine on trachyte sample RGR1-D13-004.</w:t>
      </w:r>
    </w:p>
    <w:p w14:paraId="20EA626C" w14:textId="77777777" w:rsidR="006E3D9C" w:rsidRPr="005863DA" w:rsidRDefault="006E3D9C" w:rsidP="005863D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</w:pPr>
    </w:p>
    <w:p w14:paraId="30B09F72" w14:textId="77777777" w:rsidR="006E3D9C" w:rsidRPr="005863DA" w:rsidRDefault="006E3D9C" w:rsidP="005863DA">
      <w:pPr>
        <w:spacing w:before="120" w:after="120" w:line="240" w:lineRule="auto"/>
        <w:rPr>
          <w:rFonts w:ascii="Times New Roman" w:hAnsi="Times New Roman" w:cs="Times New Roman"/>
          <w:b/>
          <w:bCs/>
          <w:sz w:val="24"/>
          <w:szCs w:val="24"/>
          <w:lang w:val="en-GB"/>
        </w:rPr>
      </w:pPr>
    </w:p>
    <w:p w14:paraId="23EB428B" w14:textId="77777777" w:rsidR="006E3D9C" w:rsidRPr="005863DA" w:rsidRDefault="006E3D9C" w:rsidP="005863DA">
      <w:pPr>
        <w:spacing w:before="120" w:after="12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353A531" w14:textId="77777777" w:rsidR="006E3D9C" w:rsidRPr="005863DA" w:rsidRDefault="006E3D9C" w:rsidP="005863DA">
      <w:pPr>
        <w:spacing w:before="120" w:after="12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04FA7A0" w14:textId="77777777" w:rsidR="006E3D9C" w:rsidRPr="005863DA" w:rsidRDefault="006E3D9C" w:rsidP="005863DA">
      <w:pPr>
        <w:spacing w:before="120" w:after="120" w:line="240" w:lineRule="auto"/>
        <w:rPr>
          <w:rFonts w:ascii="Times New Roman" w:hAnsi="Times New Roman" w:cs="Times New Roman"/>
          <w:b/>
          <w:bCs/>
          <w:sz w:val="24"/>
          <w:szCs w:val="24"/>
        </w:rPr>
        <w:sectPr w:rsidR="006E3D9C" w:rsidRPr="005863DA" w:rsidSect="006E3D9C">
          <w:pgSz w:w="15840" w:h="12240" w:orient="landscape"/>
          <w:pgMar w:top="1080" w:right="1080" w:bottom="1080" w:left="1080" w:header="720" w:footer="720" w:gutter="0"/>
          <w:cols w:space="720"/>
          <w:docGrid w:linePitch="360"/>
        </w:sectPr>
      </w:pPr>
    </w:p>
    <w:p w14:paraId="77675475" w14:textId="77777777" w:rsidR="006E3D9C" w:rsidRPr="005863DA" w:rsidRDefault="006E3D9C" w:rsidP="005863DA">
      <w:pPr>
        <w:spacing w:before="120" w:after="12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EAA2E95" w14:textId="77777777" w:rsidR="00A77530" w:rsidRDefault="00A77530" w:rsidP="00D55F0D">
      <w:pPr>
        <w:spacing w:before="120" w:after="120" w:line="240" w:lineRule="auto"/>
        <w:jc w:val="center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noProof/>
          <w:sz w:val="24"/>
          <w:szCs w:val="24"/>
          <w:lang w:val="en-GB"/>
        </w:rPr>
        <w:drawing>
          <wp:inline distT="0" distB="0" distL="0" distR="0" wp14:anchorId="35A0BC48" wp14:editId="02E4CE97">
            <wp:extent cx="5713640" cy="7448988"/>
            <wp:effectExtent l="0" t="0" r="1905" b="0"/>
            <wp:docPr id="1471544828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1544828" name="Imagem 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3640" cy="7448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9CBEC" w14:textId="0183E03A" w:rsidR="00A77530" w:rsidRPr="00E619EC" w:rsidRDefault="00A77530" w:rsidP="00A77530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val="en-GB"/>
        </w:rPr>
      </w:pPr>
      <w:r w:rsidRPr="00E619EC">
        <w:rPr>
          <w:rFonts w:ascii="Times New Roman" w:hAnsi="Times New Roman" w:cs="Times New Roman"/>
          <w:sz w:val="24"/>
          <w:szCs w:val="24"/>
          <w:lang w:val="en-GB"/>
        </w:rPr>
        <w:t xml:space="preserve">Supplementary Figure </w:t>
      </w:r>
      <w:r w:rsidR="007D42AF">
        <w:rPr>
          <w:rFonts w:ascii="Times New Roman" w:hAnsi="Times New Roman" w:cs="Times New Roman"/>
          <w:sz w:val="24"/>
          <w:szCs w:val="24"/>
          <w:lang w:val="en-GB"/>
        </w:rPr>
        <w:t>4</w:t>
      </w:r>
      <w:r w:rsidRPr="00E619EC">
        <w:rPr>
          <w:rFonts w:ascii="Times New Roman" w:hAnsi="Times New Roman" w:cs="Times New Roman"/>
          <w:sz w:val="24"/>
          <w:szCs w:val="24"/>
          <w:lang w:val="en-GB"/>
        </w:rPr>
        <w:t xml:space="preserve">: Whole-rock geochemistry diagrams showing the compositional variability of </w:t>
      </w:r>
      <w:r w:rsidR="00107007">
        <w:rPr>
          <w:rFonts w:ascii="Times New Roman" w:hAnsi="Times New Roman" w:cs="Times New Roman"/>
          <w:sz w:val="24"/>
          <w:szCs w:val="24"/>
          <w:lang w:val="en-GB"/>
        </w:rPr>
        <w:t>W</w:t>
      </w:r>
      <w:r w:rsidRPr="00E619EC">
        <w:rPr>
          <w:rFonts w:ascii="Times New Roman" w:hAnsi="Times New Roman" w:cs="Times New Roman"/>
          <w:sz w:val="24"/>
          <w:szCs w:val="24"/>
          <w:lang w:val="en-GB"/>
        </w:rPr>
        <w:t xml:space="preserve">RGR </w:t>
      </w:r>
      <w:r w:rsidR="00107007">
        <w:rPr>
          <w:rFonts w:ascii="Times New Roman" w:hAnsi="Times New Roman" w:cs="Times New Roman"/>
          <w:sz w:val="24"/>
          <w:szCs w:val="24"/>
          <w:lang w:val="en-GB"/>
        </w:rPr>
        <w:t xml:space="preserve">alkaline </w:t>
      </w:r>
      <w:r w:rsidRPr="00E619EC">
        <w:rPr>
          <w:rFonts w:ascii="Times New Roman" w:hAnsi="Times New Roman" w:cs="Times New Roman"/>
          <w:sz w:val="24"/>
          <w:szCs w:val="24"/>
          <w:lang w:val="en-GB"/>
        </w:rPr>
        <w:t>lavas</w:t>
      </w:r>
      <w:r w:rsidR="00107007">
        <w:rPr>
          <w:rFonts w:ascii="Times New Roman" w:hAnsi="Times New Roman" w:cs="Times New Roman"/>
          <w:sz w:val="24"/>
          <w:szCs w:val="24"/>
          <w:lang w:val="en-GB"/>
        </w:rPr>
        <w:t xml:space="preserve"> (this study, Hoernle et al., 2015; Homrighausen et al., 2018; Hoyer et al., 2022</w:t>
      </w:r>
      <w:r w:rsidR="00D2770C">
        <w:rPr>
          <w:rFonts w:ascii="Times New Roman" w:hAnsi="Times New Roman" w:cs="Times New Roman"/>
          <w:sz w:val="24"/>
          <w:szCs w:val="24"/>
          <w:lang w:val="en-GB"/>
        </w:rPr>
        <w:t>a</w:t>
      </w:r>
      <w:r w:rsidR="00155071">
        <w:rPr>
          <w:rFonts w:ascii="Times New Roman" w:hAnsi="Times New Roman" w:cs="Times New Roman"/>
          <w:sz w:val="24"/>
          <w:szCs w:val="24"/>
          <w:lang w:val="en-GB"/>
        </w:rPr>
        <w:t>;</w:t>
      </w:r>
      <w:r w:rsidR="00D2770C">
        <w:rPr>
          <w:rFonts w:ascii="Times New Roman" w:hAnsi="Times New Roman" w:cs="Times New Roman"/>
          <w:sz w:val="24"/>
          <w:szCs w:val="24"/>
          <w:lang w:val="en-GB"/>
        </w:rPr>
        <w:t xml:space="preserve"> b</w:t>
      </w:r>
      <w:r w:rsidR="00107007">
        <w:rPr>
          <w:rFonts w:ascii="Times New Roman" w:hAnsi="Times New Roman" w:cs="Times New Roman"/>
          <w:sz w:val="24"/>
          <w:szCs w:val="24"/>
          <w:lang w:val="en-GB"/>
        </w:rPr>
        <w:t>)</w:t>
      </w:r>
      <w:r w:rsidR="003A15D3">
        <w:rPr>
          <w:rFonts w:ascii="Times New Roman" w:hAnsi="Times New Roman" w:cs="Times New Roman"/>
          <w:sz w:val="24"/>
          <w:szCs w:val="24"/>
          <w:lang w:val="en-GB"/>
        </w:rPr>
        <w:t xml:space="preserve">, </w:t>
      </w:r>
      <w:r w:rsidR="005636D9">
        <w:rPr>
          <w:rFonts w:ascii="Times New Roman" w:hAnsi="Times New Roman" w:cs="Times New Roman"/>
          <w:sz w:val="24"/>
          <w:szCs w:val="24"/>
          <w:lang w:val="en-GB"/>
        </w:rPr>
        <w:t xml:space="preserve">the </w:t>
      </w:r>
      <w:r w:rsidR="003A15D3">
        <w:rPr>
          <w:rFonts w:ascii="Times New Roman" w:hAnsi="Times New Roman" w:cs="Times New Roman"/>
          <w:sz w:val="24"/>
          <w:szCs w:val="24"/>
          <w:lang w:val="en-GB"/>
        </w:rPr>
        <w:t>W</w:t>
      </w:r>
      <w:r w:rsidR="00107007">
        <w:rPr>
          <w:rFonts w:ascii="Times New Roman" w:hAnsi="Times New Roman" w:cs="Times New Roman"/>
          <w:sz w:val="24"/>
          <w:szCs w:val="24"/>
          <w:lang w:val="en-GB"/>
        </w:rPr>
        <w:t xml:space="preserve">RGR </w:t>
      </w:r>
      <w:r w:rsidR="003A15D3">
        <w:rPr>
          <w:rFonts w:ascii="Times New Roman" w:hAnsi="Times New Roman" w:cs="Times New Roman"/>
          <w:sz w:val="24"/>
          <w:szCs w:val="24"/>
          <w:lang w:val="en-GB"/>
        </w:rPr>
        <w:t xml:space="preserve">and ERGR </w:t>
      </w:r>
      <w:r w:rsidR="00107007">
        <w:rPr>
          <w:rFonts w:ascii="Times New Roman" w:hAnsi="Times New Roman" w:cs="Times New Roman"/>
          <w:sz w:val="24"/>
          <w:szCs w:val="24"/>
          <w:lang w:val="en-GB"/>
        </w:rPr>
        <w:t xml:space="preserve">tholeiitic basement </w:t>
      </w:r>
      <w:r w:rsidR="003A15D3">
        <w:rPr>
          <w:rFonts w:ascii="Times New Roman" w:hAnsi="Times New Roman" w:cs="Times New Roman"/>
          <w:sz w:val="24"/>
          <w:szCs w:val="24"/>
          <w:lang w:val="en-GB"/>
        </w:rPr>
        <w:t>(Hoyer et al., 2022</w:t>
      </w:r>
      <w:r w:rsidR="00D2770C">
        <w:rPr>
          <w:rFonts w:ascii="Times New Roman" w:hAnsi="Times New Roman" w:cs="Times New Roman"/>
          <w:sz w:val="24"/>
          <w:szCs w:val="24"/>
          <w:lang w:val="en-GB"/>
        </w:rPr>
        <w:t>a</w:t>
      </w:r>
      <w:r w:rsidR="00155071">
        <w:rPr>
          <w:rFonts w:ascii="Times New Roman" w:hAnsi="Times New Roman" w:cs="Times New Roman"/>
          <w:sz w:val="24"/>
          <w:szCs w:val="24"/>
          <w:lang w:val="en-GB"/>
        </w:rPr>
        <w:t>;</w:t>
      </w:r>
      <w:r w:rsidR="00D2770C">
        <w:rPr>
          <w:rFonts w:ascii="Times New Roman" w:hAnsi="Times New Roman" w:cs="Times New Roman"/>
          <w:sz w:val="24"/>
          <w:szCs w:val="24"/>
          <w:lang w:val="en-GB"/>
        </w:rPr>
        <w:t xml:space="preserve"> b</w:t>
      </w:r>
      <w:r w:rsidR="003A15D3">
        <w:rPr>
          <w:rFonts w:ascii="Times New Roman" w:hAnsi="Times New Roman" w:cs="Times New Roman"/>
          <w:sz w:val="24"/>
          <w:szCs w:val="24"/>
          <w:lang w:val="en-GB"/>
        </w:rPr>
        <w:t xml:space="preserve">), </w:t>
      </w:r>
      <w:r w:rsidR="00D7725A">
        <w:rPr>
          <w:rFonts w:ascii="Times New Roman" w:hAnsi="Times New Roman" w:cs="Times New Roman"/>
          <w:sz w:val="24"/>
          <w:szCs w:val="24"/>
          <w:lang w:val="en-GB"/>
        </w:rPr>
        <w:t>and</w:t>
      </w:r>
      <w:r w:rsidR="003A15D3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5636D9">
        <w:rPr>
          <w:rFonts w:ascii="Times New Roman" w:hAnsi="Times New Roman" w:cs="Times New Roman"/>
          <w:sz w:val="24"/>
          <w:szCs w:val="24"/>
          <w:lang w:val="en-GB"/>
        </w:rPr>
        <w:t xml:space="preserve">lavas from </w:t>
      </w:r>
      <w:r w:rsidR="003A15D3">
        <w:rPr>
          <w:rFonts w:ascii="Times New Roman" w:hAnsi="Times New Roman" w:cs="Times New Roman"/>
          <w:sz w:val="24"/>
          <w:szCs w:val="24"/>
          <w:lang w:val="en-GB"/>
        </w:rPr>
        <w:t>the Jean Charcot Seamount Chain (Hoyer et al., 2022</w:t>
      </w:r>
      <w:r w:rsidR="00164DB2">
        <w:rPr>
          <w:rFonts w:ascii="Times New Roman" w:hAnsi="Times New Roman" w:cs="Times New Roman"/>
          <w:sz w:val="24"/>
          <w:szCs w:val="24"/>
          <w:lang w:val="en-GB"/>
        </w:rPr>
        <w:t>a</w:t>
      </w:r>
      <w:r w:rsidR="00155071">
        <w:rPr>
          <w:rFonts w:ascii="Times New Roman" w:hAnsi="Times New Roman" w:cs="Times New Roman"/>
          <w:sz w:val="24"/>
          <w:szCs w:val="24"/>
          <w:lang w:val="en-GB"/>
        </w:rPr>
        <w:t>;</w:t>
      </w:r>
      <w:r w:rsidR="00164DB2">
        <w:rPr>
          <w:rFonts w:ascii="Times New Roman" w:hAnsi="Times New Roman" w:cs="Times New Roman"/>
          <w:sz w:val="24"/>
          <w:szCs w:val="24"/>
          <w:lang w:val="en-GB"/>
        </w:rPr>
        <w:t xml:space="preserve"> b</w:t>
      </w:r>
      <w:r w:rsidR="003A15D3">
        <w:rPr>
          <w:rFonts w:ascii="Times New Roman" w:hAnsi="Times New Roman" w:cs="Times New Roman"/>
          <w:sz w:val="24"/>
          <w:szCs w:val="24"/>
          <w:lang w:val="en-GB"/>
        </w:rPr>
        <w:t>)</w:t>
      </w:r>
      <w:r w:rsidRPr="00E619EC">
        <w:rPr>
          <w:rFonts w:ascii="Times New Roman" w:hAnsi="Times New Roman" w:cs="Times New Roman"/>
          <w:sz w:val="24"/>
          <w:szCs w:val="24"/>
          <w:lang w:val="en-GB"/>
        </w:rPr>
        <w:t xml:space="preserve">. Symbols with </w:t>
      </w:r>
      <w:r w:rsidR="001221AA">
        <w:rPr>
          <w:rFonts w:ascii="Times New Roman" w:hAnsi="Times New Roman" w:cs="Times New Roman"/>
          <w:sz w:val="24"/>
          <w:szCs w:val="24"/>
          <w:lang w:val="en-GB"/>
        </w:rPr>
        <w:t>dots</w:t>
      </w:r>
      <w:r w:rsidRPr="00E619EC">
        <w:rPr>
          <w:rFonts w:ascii="Times New Roman" w:hAnsi="Times New Roman" w:cs="Times New Roman"/>
          <w:sz w:val="24"/>
          <w:szCs w:val="24"/>
          <w:lang w:val="en-GB"/>
        </w:rPr>
        <w:t xml:space="preserve"> inside correspond to analyses with L</w:t>
      </w:r>
      <w:r w:rsidR="007650DD">
        <w:rPr>
          <w:rFonts w:ascii="Times New Roman" w:hAnsi="Times New Roman" w:cs="Times New Roman"/>
          <w:sz w:val="24"/>
          <w:szCs w:val="24"/>
          <w:lang w:val="en-GB"/>
        </w:rPr>
        <w:t>OI</w:t>
      </w:r>
      <w:r w:rsidRPr="00E619EC">
        <w:rPr>
          <w:rFonts w:ascii="Times New Roman" w:hAnsi="Times New Roman" w:cs="Times New Roman"/>
          <w:sz w:val="24"/>
          <w:szCs w:val="24"/>
          <w:lang w:val="en-GB"/>
        </w:rPr>
        <w:t>&gt;5 (</w:t>
      </w:r>
      <w:proofErr w:type="spellStart"/>
      <w:r w:rsidRPr="00E619EC">
        <w:rPr>
          <w:rFonts w:ascii="Times New Roman" w:hAnsi="Times New Roman" w:cs="Times New Roman"/>
          <w:sz w:val="24"/>
          <w:szCs w:val="24"/>
          <w:lang w:val="en-GB"/>
        </w:rPr>
        <w:t>wt</w:t>
      </w:r>
      <w:proofErr w:type="spellEnd"/>
      <w:r w:rsidRPr="00E619EC">
        <w:rPr>
          <w:rFonts w:ascii="Times New Roman" w:hAnsi="Times New Roman" w:cs="Times New Roman"/>
          <w:sz w:val="24"/>
          <w:szCs w:val="24"/>
          <w:lang w:val="en-GB"/>
        </w:rPr>
        <w:t>%).</w:t>
      </w:r>
    </w:p>
    <w:p w14:paraId="5F2482C7" w14:textId="77777777" w:rsidR="00A77530" w:rsidRDefault="00A77530" w:rsidP="005863DA">
      <w:pPr>
        <w:spacing w:before="120" w:after="120" w:line="240" w:lineRule="auto"/>
        <w:jc w:val="center"/>
        <w:rPr>
          <w:rFonts w:ascii="Times New Roman" w:hAnsi="Times New Roman" w:cs="Times New Roman"/>
          <w:sz w:val="24"/>
          <w:szCs w:val="24"/>
          <w:lang w:val="en-GB"/>
        </w:rPr>
      </w:pPr>
    </w:p>
    <w:p w14:paraId="4595B119" w14:textId="77777777" w:rsidR="00A77530" w:rsidRDefault="00A77530" w:rsidP="005863DA">
      <w:pPr>
        <w:spacing w:before="120" w:after="120" w:line="240" w:lineRule="auto"/>
        <w:jc w:val="center"/>
        <w:rPr>
          <w:rFonts w:ascii="Times New Roman" w:hAnsi="Times New Roman" w:cs="Times New Roman"/>
          <w:sz w:val="24"/>
          <w:szCs w:val="24"/>
          <w:lang w:val="en-GB"/>
        </w:rPr>
      </w:pPr>
    </w:p>
    <w:p w14:paraId="04CFC0AC" w14:textId="16BA011C" w:rsidR="002B73C7" w:rsidRPr="005863DA" w:rsidRDefault="002B73C7" w:rsidP="005863DA">
      <w:pPr>
        <w:spacing w:before="120" w:after="120" w:line="240" w:lineRule="auto"/>
        <w:jc w:val="center"/>
        <w:rPr>
          <w:rFonts w:ascii="Times New Roman" w:hAnsi="Times New Roman" w:cs="Times New Roman"/>
          <w:sz w:val="24"/>
          <w:szCs w:val="24"/>
          <w:lang w:val="en-GB"/>
        </w:rPr>
      </w:pPr>
      <w:r w:rsidRPr="005863DA">
        <w:rPr>
          <w:rFonts w:ascii="Times New Roman" w:hAnsi="Times New Roman" w:cs="Times New Roman"/>
          <w:noProof/>
          <w:sz w:val="24"/>
          <w:szCs w:val="24"/>
          <w:lang w:eastAsia="pt-BR"/>
        </w:rPr>
        <w:drawing>
          <wp:inline distT="0" distB="0" distL="0" distR="0" wp14:anchorId="17F94D48" wp14:editId="754EAEE1">
            <wp:extent cx="4252111" cy="3550920"/>
            <wp:effectExtent l="0" t="0" r="0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m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627" cy="3572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F4726" w14:textId="4EE52FD2" w:rsidR="002B73C7" w:rsidRPr="005863DA" w:rsidRDefault="000D460C" w:rsidP="005863DA">
      <w:pPr>
        <w:spacing w:before="120" w:after="120" w:line="240" w:lineRule="auto"/>
        <w:jc w:val="center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Supplementary Figure </w:t>
      </w:r>
      <w:r w:rsidR="00726EED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5</w:t>
      </w:r>
      <w:r w:rsidR="002B73C7" w:rsidRPr="005863DA">
        <w:rPr>
          <w:rFonts w:ascii="Times New Roman" w:hAnsi="Times New Roman" w:cs="Times New Roman"/>
          <w:sz w:val="24"/>
          <w:szCs w:val="24"/>
          <w:lang w:val="en-GB"/>
        </w:rPr>
        <w:t>: Classification of the analysed clinopyroxenes after Morimoto et al. (1988).</w:t>
      </w:r>
    </w:p>
    <w:p w14:paraId="40985AE5" w14:textId="424D1D2D" w:rsidR="00AC614A" w:rsidRPr="005863DA" w:rsidRDefault="00331AE3" w:rsidP="005863DA">
      <w:pPr>
        <w:spacing w:before="120" w:after="120" w:line="240" w:lineRule="auto"/>
        <w:jc w:val="center"/>
        <w:rPr>
          <w:rFonts w:ascii="Times New Roman" w:hAnsi="Times New Roman" w:cs="Times New Roman"/>
          <w:sz w:val="24"/>
          <w:szCs w:val="24"/>
          <w:lang w:val="en-GB"/>
        </w:rPr>
      </w:pPr>
      <w:r w:rsidRPr="005863DA">
        <w:rPr>
          <w:rFonts w:ascii="Times New Roman" w:hAnsi="Times New Roman" w:cs="Times New Roman"/>
          <w:noProof/>
          <w:sz w:val="24"/>
          <w:szCs w:val="24"/>
          <w:lang w:val="en-GB"/>
        </w:rPr>
        <w:lastRenderedPageBreak/>
        <w:drawing>
          <wp:inline distT="0" distB="0" distL="0" distR="0" wp14:anchorId="2C825760" wp14:editId="0576F14F">
            <wp:extent cx="4465320" cy="7535848"/>
            <wp:effectExtent l="0" t="0" r="0" b="8255"/>
            <wp:docPr id="1777315791" name="Imagem 1" descr="Gráfico, Gráfico de dispersã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315791" name="Imagem 1" descr="Gráfico, Gráfico de dispersão&#10;&#10;Descrição gerada automaticamente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8076" cy="7557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D0B90" w14:textId="47A5B602" w:rsidR="00EC0F75" w:rsidRPr="005863DA" w:rsidRDefault="000D460C" w:rsidP="005863DA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val="en-GB"/>
        </w:rPr>
        <w:sectPr w:rsidR="00EC0F75" w:rsidRPr="005863DA" w:rsidSect="00F15964">
          <w:pgSz w:w="12240" w:h="15840"/>
          <w:pgMar w:top="1080" w:right="1080" w:bottom="1080" w:left="1080" w:header="720" w:footer="720" w:gutter="0"/>
          <w:cols w:space="720"/>
          <w:docGrid w:linePitch="360"/>
        </w:sectPr>
      </w:pPr>
      <w:r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Supplementary Figure </w:t>
      </w:r>
      <w:r w:rsidR="00726EED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6</w:t>
      </w:r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 xml:space="preserve">: </w:t>
      </w:r>
      <w:r>
        <w:rPr>
          <w:rFonts w:ascii="Times New Roman" w:hAnsi="Times New Roman" w:cs="Times New Roman"/>
          <w:sz w:val="24"/>
          <w:szCs w:val="24"/>
          <w:lang w:val="en-GB"/>
        </w:rPr>
        <w:t>(</w:t>
      </w:r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>A</w:t>
      </w:r>
      <w:r>
        <w:rPr>
          <w:rFonts w:ascii="Times New Roman" w:hAnsi="Times New Roman" w:cs="Times New Roman"/>
          <w:sz w:val="24"/>
          <w:szCs w:val="24"/>
          <w:lang w:val="en-GB"/>
        </w:rPr>
        <w:t>)</w:t>
      </w:r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 xml:space="preserve"> - Fe</w:t>
      </w:r>
      <w:r w:rsidR="00AC614A" w:rsidRPr="005863DA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3+</w:t>
      </w:r>
      <w:r w:rsidR="00AC614A" w:rsidRPr="005863DA">
        <w:rPr>
          <w:rFonts w:ascii="Times New Roman" w:hAnsi="Times New Roman" w:cs="Times New Roman"/>
          <w:sz w:val="24"/>
          <w:szCs w:val="24"/>
          <w:vertAlign w:val="subscript"/>
          <w:lang w:val="en-GB"/>
        </w:rPr>
        <w:t>M1</w:t>
      </w:r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>+Ti</w:t>
      </w:r>
      <w:r w:rsidR="00AC614A" w:rsidRPr="005863DA">
        <w:rPr>
          <w:rFonts w:ascii="Times New Roman" w:hAnsi="Times New Roman" w:cs="Times New Roman"/>
          <w:sz w:val="24"/>
          <w:szCs w:val="24"/>
          <w:vertAlign w:val="subscript"/>
          <w:lang w:val="en-GB"/>
        </w:rPr>
        <w:t>M1</w:t>
      </w:r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>+Al</w:t>
      </w:r>
      <w:r w:rsidR="00AC614A" w:rsidRPr="005863DA">
        <w:rPr>
          <w:rFonts w:ascii="Times New Roman" w:hAnsi="Times New Roman" w:cs="Times New Roman"/>
          <w:sz w:val="24"/>
          <w:szCs w:val="24"/>
          <w:vertAlign w:val="subscript"/>
          <w:lang w:val="en-GB"/>
        </w:rPr>
        <w:t>M1</w:t>
      </w:r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>+Cr</w:t>
      </w:r>
      <w:r w:rsidR="00AC614A" w:rsidRPr="005863DA">
        <w:rPr>
          <w:rFonts w:ascii="Times New Roman" w:hAnsi="Times New Roman" w:cs="Times New Roman"/>
          <w:sz w:val="24"/>
          <w:szCs w:val="24"/>
          <w:vertAlign w:val="subscript"/>
          <w:lang w:val="en-GB"/>
        </w:rPr>
        <w:t>M1</w:t>
      </w:r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 xml:space="preserve"> versus Mg</w:t>
      </w:r>
      <w:r w:rsidR="00AC614A" w:rsidRPr="005863DA">
        <w:rPr>
          <w:rFonts w:ascii="Times New Roman" w:hAnsi="Times New Roman" w:cs="Times New Roman"/>
          <w:sz w:val="24"/>
          <w:szCs w:val="24"/>
          <w:vertAlign w:val="subscript"/>
          <w:lang w:val="en-GB"/>
        </w:rPr>
        <w:t>M1</w:t>
      </w:r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 xml:space="preserve"> diagram showing the distribution of the analysed clinopyroxene from mafic rocks in terms of solid solution endmembers (Di=diopside; </w:t>
      </w:r>
      <w:proofErr w:type="spellStart"/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>Hd</w:t>
      </w:r>
      <w:proofErr w:type="spellEnd"/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 xml:space="preserve">=hedenbergite; </w:t>
      </w:r>
      <w:proofErr w:type="spellStart"/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>Aeg</w:t>
      </w:r>
      <w:proofErr w:type="spellEnd"/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 xml:space="preserve">=aegirine). </w:t>
      </w:r>
      <w:r>
        <w:rPr>
          <w:rFonts w:ascii="Times New Roman" w:hAnsi="Times New Roman" w:cs="Times New Roman"/>
          <w:sz w:val="24"/>
          <w:szCs w:val="24"/>
          <w:lang w:val="en-GB"/>
        </w:rPr>
        <w:t>(</w:t>
      </w:r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>B</w:t>
      </w:r>
      <w:r>
        <w:rPr>
          <w:rFonts w:ascii="Times New Roman" w:hAnsi="Times New Roman" w:cs="Times New Roman"/>
          <w:sz w:val="24"/>
          <w:szCs w:val="24"/>
          <w:lang w:val="en-GB"/>
        </w:rPr>
        <w:t>)</w:t>
      </w:r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 xml:space="preserve"> – </w:t>
      </w:r>
      <w:proofErr w:type="spellStart"/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>Ti+Al</w:t>
      </w:r>
      <w:r w:rsidR="00AC614A" w:rsidRPr="005863DA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VI</w:t>
      </w:r>
      <w:proofErr w:type="spellEnd"/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 xml:space="preserve"> versus Al</w:t>
      </w:r>
      <w:r w:rsidR="00AC614A" w:rsidRPr="005863DA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IV</w:t>
      </w:r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 xml:space="preserve"> diagram demonstrating a positive correlation indicative of the significance of the CaAl-</w:t>
      </w:r>
      <w:proofErr w:type="spellStart"/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>tschermak</w:t>
      </w:r>
      <w:proofErr w:type="spellEnd"/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 xml:space="preserve"> and </w:t>
      </w:r>
      <w:proofErr w:type="spellStart"/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>CaTi-tschermak</w:t>
      </w:r>
      <w:proofErr w:type="spellEnd"/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 xml:space="preserve"> components. </w:t>
      </w:r>
      <w:r>
        <w:rPr>
          <w:rFonts w:ascii="Times New Roman" w:hAnsi="Times New Roman" w:cs="Times New Roman"/>
          <w:sz w:val="24"/>
          <w:szCs w:val="24"/>
          <w:lang w:val="en-GB"/>
        </w:rPr>
        <w:t>(</w:t>
      </w:r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>C</w:t>
      </w:r>
      <w:r>
        <w:rPr>
          <w:rFonts w:ascii="Times New Roman" w:hAnsi="Times New Roman" w:cs="Times New Roman"/>
          <w:sz w:val="24"/>
          <w:szCs w:val="24"/>
          <w:lang w:val="en-GB"/>
        </w:rPr>
        <w:t>)</w:t>
      </w:r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 xml:space="preserve"> - Compositions of mafic rock clinopyroxene in terms of Fe</w:t>
      </w:r>
      <w:r w:rsidR="00AC614A" w:rsidRPr="005863DA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3+</w:t>
      </w:r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>/Fe</w:t>
      </w:r>
      <w:r w:rsidR="00AC614A" w:rsidRPr="005863DA">
        <w:rPr>
          <w:rFonts w:ascii="Times New Roman" w:hAnsi="Times New Roman" w:cs="Times New Roman"/>
          <w:sz w:val="24"/>
          <w:szCs w:val="24"/>
          <w:vertAlign w:val="superscript"/>
          <w:lang w:val="en-GB"/>
        </w:rPr>
        <w:t>2+</w:t>
      </w:r>
      <w:r w:rsidR="00AC614A" w:rsidRPr="005863DA">
        <w:rPr>
          <w:rFonts w:ascii="Times New Roman" w:hAnsi="Times New Roman" w:cs="Times New Roman"/>
          <w:sz w:val="24"/>
          <w:szCs w:val="24"/>
          <w:lang w:val="en-GB"/>
        </w:rPr>
        <w:t xml:space="preserve"> versus Mg#. Grey crosses correspond to clinopyroxene from the trachytes and trachyandesites for reference.</w:t>
      </w:r>
    </w:p>
    <w:p w14:paraId="7BAF0204" w14:textId="637CED3D" w:rsidR="00AC614A" w:rsidRPr="005863DA" w:rsidRDefault="00AC614A" w:rsidP="005863DA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14:paraId="32F7EF4E" w14:textId="77777777" w:rsidR="00EC0F75" w:rsidRPr="005863DA" w:rsidRDefault="00EC0F75" w:rsidP="005863DA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</w:pPr>
      <w:r w:rsidRPr="005863DA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val="en-GB" w:eastAsia="en-GB"/>
        </w:rPr>
        <w:drawing>
          <wp:inline distT="0" distB="0" distL="0" distR="0" wp14:anchorId="78387D49" wp14:editId="2A2B47E4">
            <wp:extent cx="7676970" cy="5433237"/>
            <wp:effectExtent l="0" t="0" r="635" b="0"/>
            <wp:docPr id="64" name="Imagem 64" descr="Interface gráfica do usuári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2" descr="Interface gráfica do usuário, Aplicativo&#10;&#10;Descrição gerada automaticamente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91737" cy="5443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17FE3" w14:textId="48123D4D" w:rsidR="00EC0F75" w:rsidRPr="00A77530" w:rsidRDefault="000D460C" w:rsidP="005863DA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sectPr w:rsidR="00EC0F75" w:rsidRPr="00A77530" w:rsidSect="00EC0F75">
          <w:pgSz w:w="15840" w:h="12240" w:orient="landscape"/>
          <w:pgMar w:top="1080" w:right="1080" w:bottom="1080" w:left="1080" w:header="720" w:footer="720" w:gutter="0"/>
          <w:cols w:space="720"/>
          <w:docGrid w:linePitch="360"/>
        </w:sectPr>
      </w:pPr>
      <w:r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Supplementary Figure </w:t>
      </w:r>
      <w:r w:rsidR="00726EED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7</w:t>
      </w:r>
      <w:r w:rsidR="00EC0F75"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: Selected zircon crystals and respective spot-analyses used for U-Pb dating of trachyte RGR1-D13-004 by Sensitive High-Resolution Ion </w:t>
      </w:r>
      <w:proofErr w:type="spellStart"/>
      <w:r w:rsidR="00EC0F75"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MicroProbe</w:t>
      </w:r>
      <w:proofErr w:type="spellEnd"/>
      <w:r w:rsidR="00EC0F75"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 (SHRIMP). </w:t>
      </w:r>
    </w:p>
    <w:p w14:paraId="3AFB8498" w14:textId="77777777" w:rsidR="00215868" w:rsidRPr="005863DA" w:rsidRDefault="00215868" w:rsidP="005863DA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  <w:lang w:val="en-GB"/>
        </w:rPr>
      </w:pPr>
    </w:p>
    <w:p w14:paraId="4BFB1808" w14:textId="77777777" w:rsidR="007D5247" w:rsidRPr="005863DA" w:rsidRDefault="007D5247" w:rsidP="005863DA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6EBB2B0" w14:textId="77777777" w:rsidR="007F281D" w:rsidRPr="005863DA" w:rsidRDefault="007F281D" w:rsidP="005863DA">
      <w:pPr>
        <w:spacing w:before="120" w:after="120" w:line="240" w:lineRule="auto"/>
        <w:jc w:val="center"/>
        <w:rPr>
          <w:rFonts w:ascii="Times New Roman" w:hAnsi="Times New Roman" w:cs="Times New Roman"/>
          <w:sz w:val="24"/>
          <w:szCs w:val="24"/>
          <w:lang w:val="en-GB"/>
        </w:rPr>
      </w:pPr>
      <w:r w:rsidRPr="005863DA">
        <w:rPr>
          <w:rFonts w:ascii="Times New Roman" w:hAnsi="Times New Roman" w:cs="Times New Roman"/>
          <w:noProof/>
          <w:sz w:val="24"/>
          <w:szCs w:val="24"/>
          <w:lang w:eastAsia="pt-BR"/>
        </w:rPr>
        <w:drawing>
          <wp:inline distT="0" distB="0" distL="0" distR="0" wp14:anchorId="6BCECA26" wp14:editId="7FCFF5A6">
            <wp:extent cx="3900522" cy="3844456"/>
            <wp:effectExtent l="0" t="0" r="5080" b="381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0522" cy="3844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2ED84" w14:textId="668E052A" w:rsidR="007F281D" w:rsidRPr="005863DA" w:rsidRDefault="000D460C" w:rsidP="005863DA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Supplementary Figure </w:t>
      </w:r>
      <w:r w:rsidR="00215868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8</w:t>
      </w:r>
      <w:r w:rsidR="007F281D" w:rsidRPr="005863DA">
        <w:rPr>
          <w:rFonts w:ascii="Times New Roman" w:hAnsi="Times New Roman" w:cs="Times New Roman"/>
          <w:sz w:val="24"/>
          <w:szCs w:val="24"/>
        </w:rPr>
        <w:t xml:space="preserve">: Rhodes diagram (Rhodes et al., 1979) which was used to evaluate equilibrium crystallization between clinopyroxene and liquid based on </w:t>
      </w:r>
      <w:proofErr w:type="spellStart"/>
      <w:r w:rsidR="007F281D" w:rsidRPr="005863DA">
        <w:rPr>
          <w:rFonts w:ascii="Times New Roman" w:hAnsi="Times New Roman" w:cs="Times New Roman"/>
          <w:sz w:val="24"/>
          <w:szCs w:val="24"/>
        </w:rPr>
        <w:t>K</w:t>
      </w:r>
      <w:r w:rsidR="007F281D" w:rsidRPr="005863DA">
        <w:rPr>
          <w:rFonts w:ascii="Times New Roman" w:hAnsi="Times New Roman" w:cs="Times New Roman"/>
          <w:sz w:val="24"/>
          <w:szCs w:val="24"/>
          <w:vertAlign w:val="subscript"/>
        </w:rPr>
        <w:t>D</w:t>
      </w:r>
      <w:r w:rsidR="007F281D" w:rsidRPr="005863DA">
        <w:rPr>
          <w:rFonts w:ascii="Times New Roman" w:hAnsi="Times New Roman" w:cs="Times New Roman"/>
          <w:sz w:val="24"/>
          <w:szCs w:val="24"/>
        </w:rPr>
        <w:t>Fe</w:t>
      </w:r>
      <w:proofErr w:type="spellEnd"/>
      <w:r w:rsidR="007F281D" w:rsidRPr="005863DA">
        <w:rPr>
          <w:rFonts w:ascii="Times New Roman" w:hAnsi="Times New Roman" w:cs="Times New Roman"/>
          <w:sz w:val="24"/>
          <w:szCs w:val="24"/>
        </w:rPr>
        <w:t xml:space="preserve">-Mg=0.27±0.03 (Mollo et al., 2013). Liquid compositions are correspondent to whole-rock analyses except for the host liquid from the </w:t>
      </w:r>
      <w:proofErr w:type="spellStart"/>
      <w:r w:rsidR="007F281D" w:rsidRPr="005863DA">
        <w:rPr>
          <w:rFonts w:ascii="Times New Roman" w:hAnsi="Times New Roman" w:cs="Times New Roman"/>
          <w:sz w:val="24"/>
          <w:szCs w:val="24"/>
        </w:rPr>
        <w:t>picro</w:t>
      </w:r>
      <w:proofErr w:type="spellEnd"/>
      <w:r w:rsidR="007F281D" w:rsidRPr="005863DA">
        <w:rPr>
          <w:rFonts w:ascii="Times New Roman" w:hAnsi="Times New Roman" w:cs="Times New Roman"/>
          <w:sz w:val="24"/>
          <w:szCs w:val="24"/>
        </w:rPr>
        <w:t>-basalt, which corresponds to the estimated composition of the groundmass based on EDS analysis.</w:t>
      </w:r>
    </w:p>
    <w:p w14:paraId="0D8B9B8A" w14:textId="77777777" w:rsidR="00166B95" w:rsidRPr="005863DA" w:rsidRDefault="00166B95" w:rsidP="005863DA">
      <w:pPr>
        <w:snapToGrid w:val="0"/>
        <w:spacing w:before="120" w:after="120" w:line="240" w:lineRule="auto"/>
        <w:jc w:val="both"/>
        <w:rPr>
          <w:rFonts w:ascii="Times New Roman" w:eastAsia="Arial" w:hAnsi="Times New Roman" w:cs="Times New Roman"/>
          <w:b/>
          <w:bCs/>
          <w:sz w:val="24"/>
          <w:szCs w:val="24"/>
        </w:rPr>
      </w:pPr>
    </w:p>
    <w:p w14:paraId="730D1D5B" w14:textId="13F733D1" w:rsidR="00377E0D" w:rsidRPr="005863DA" w:rsidRDefault="00377E0D" w:rsidP="005863DA">
      <w:pPr>
        <w:snapToGrid w:val="0"/>
        <w:spacing w:before="120" w:after="120" w:line="240" w:lineRule="auto"/>
        <w:jc w:val="both"/>
        <w:rPr>
          <w:rFonts w:ascii="Times New Roman" w:eastAsia="Arial" w:hAnsi="Times New Roman" w:cs="Times New Roman"/>
          <w:b/>
          <w:bCs/>
          <w:sz w:val="24"/>
          <w:szCs w:val="24"/>
        </w:rPr>
      </w:pPr>
      <w:r w:rsidRPr="005863DA">
        <w:rPr>
          <w:rFonts w:ascii="Times New Roman" w:eastAsia="Arial" w:hAnsi="Times New Roman" w:cs="Times New Roman"/>
          <w:b/>
          <w:bCs/>
          <w:sz w:val="24"/>
          <w:szCs w:val="24"/>
        </w:rPr>
        <w:t>References:</w:t>
      </w:r>
    </w:p>
    <w:p w14:paraId="22637673" w14:textId="762BF9D8" w:rsidR="000E42F5" w:rsidRPr="005863DA" w:rsidRDefault="000E42F5" w:rsidP="005863DA">
      <w:pPr>
        <w:spacing w:before="120" w:after="120" w:line="240" w:lineRule="auto"/>
        <w:ind w:left="425" w:hanging="425"/>
        <w:jc w:val="both"/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</w:pPr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Deer, W.A., Howie, R.A., Zussman, J., 2013. An Introduction to the Rock-Forming Minerals, 3rd ed. The Mineralogical Society of Great Britain and Ireland, </w:t>
      </w:r>
      <w:r w:rsidR="00553A72"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London</w:t>
      </w:r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, doi:10.1180/DHZ.</w:t>
      </w:r>
    </w:p>
    <w:p w14:paraId="1BE225D4" w14:textId="69D9AA0B" w:rsidR="000E42F5" w:rsidRPr="005863DA" w:rsidRDefault="000E42F5" w:rsidP="005863DA">
      <w:pPr>
        <w:spacing w:before="120" w:after="12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</w:pPr>
      <w:r w:rsidRPr="005863DA">
        <w:rPr>
          <w:rFonts w:ascii="Times New Roman" w:eastAsia="Times New Roman" w:hAnsi="Times New Roman" w:cs="Times New Roman"/>
          <w:sz w:val="24"/>
          <w:szCs w:val="24"/>
          <w:lang w:val="de-DE" w:eastAsia="en-GB"/>
        </w:rPr>
        <w:t>Fodor, R.V., Husler, J.W., Kumar, N., 1977</w:t>
      </w:r>
      <w:r w:rsidR="00877162" w:rsidRPr="005863DA">
        <w:rPr>
          <w:rFonts w:ascii="Times New Roman" w:eastAsia="Times New Roman" w:hAnsi="Times New Roman" w:cs="Times New Roman"/>
          <w:sz w:val="24"/>
          <w:szCs w:val="24"/>
          <w:lang w:val="de-DE" w:eastAsia="en-GB"/>
        </w:rPr>
        <w:t>.</w:t>
      </w:r>
      <w:r w:rsidRPr="005863DA">
        <w:rPr>
          <w:rFonts w:ascii="Times New Roman" w:eastAsia="Times New Roman" w:hAnsi="Times New Roman" w:cs="Times New Roman"/>
          <w:sz w:val="24"/>
          <w:szCs w:val="24"/>
          <w:lang w:val="de-DE" w:eastAsia="en-GB"/>
        </w:rPr>
        <w:t xml:space="preserve"> </w:t>
      </w:r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Petrology of volcanic rocks from an aseismic rise: implications for the origin of the Rio Grande Rise, South Atlantic Ocean</w:t>
      </w:r>
      <w:r w:rsidR="00877162"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.</w:t>
      </w:r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 Earth and Planetary Science Letters 35, 225-233, doi:10.1016/0012-821</w:t>
      </w:r>
      <w:proofErr w:type="gramStart"/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X(</w:t>
      </w:r>
      <w:proofErr w:type="gramEnd"/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77)90125-X.</w:t>
      </w:r>
    </w:p>
    <w:p w14:paraId="1A28B971" w14:textId="00BBA4B5" w:rsidR="000E42F5" w:rsidRPr="005863DA" w:rsidRDefault="000E42F5" w:rsidP="005863DA">
      <w:pPr>
        <w:spacing w:before="120" w:after="120" w:line="240" w:lineRule="auto"/>
        <w:ind w:left="425" w:hanging="425"/>
        <w:jc w:val="both"/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</w:pPr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Gibson, S.A., Thompson, R.N., Day, J.A., Humphris, S.E, Dickin, A.P., 2005</w:t>
      </w:r>
      <w:r w:rsidR="00877162"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.</w:t>
      </w:r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 Melt-generation processes associated with the Tristan mantle plume: Constraints on the origin of EM-1</w:t>
      </w:r>
      <w:r w:rsidR="00877162"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.</w:t>
      </w:r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 Earth and Planetary Science Letters</w:t>
      </w:r>
      <w:r w:rsidR="00877162"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 </w:t>
      </w:r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237, 744-767, </w:t>
      </w:r>
      <w:proofErr w:type="gramStart"/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doi:10.1016/j.epsl</w:t>
      </w:r>
      <w:proofErr w:type="gramEnd"/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.2005.06.015.</w:t>
      </w:r>
    </w:p>
    <w:p w14:paraId="17B8CF6F" w14:textId="78BF55E5" w:rsidR="000E42F5" w:rsidRPr="005863DA" w:rsidRDefault="000E42F5" w:rsidP="005863DA">
      <w:pPr>
        <w:spacing w:before="120" w:after="120" w:line="240" w:lineRule="auto"/>
        <w:ind w:left="425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Hoernle, K., Rohde, J., Hauff, F., Garbe-</w:t>
      </w:r>
      <w:proofErr w:type="spellStart"/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Schönberg</w:t>
      </w:r>
      <w:proofErr w:type="spellEnd"/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, D., Homrighausen, S., Werner, R., Morgan, J.P., 2015</w:t>
      </w:r>
      <w:r w:rsidR="00877162"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How and when plume zonation appeared during the 132 Myr evolution of the Tristan Hotspot</w:t>
      </w:r>
      <w:r w:rsidR="00877162"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Nature Communications 6, 7799, doi:10.1038/ncomms8799.</w:t>
      </w:r>
    </w:p>
    <w:p w14:paraId="2A183D3A" w14:textId="3D4DA75C" w:rsidR="000E42F5" w:rsidRPr="005863DA" w:rsidRDefault="000E42F5" w:rsidP="005863DA">
      <w:pPr>
        <w:spacing w:before="120" w:after="120" w:line="240" w:lineRule="auto"/>
        <w:ind w:left="425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lastRenderedPageBreak/>
        <w:t xml:space="preserve">Homrighausen, S., Hoernle, K., Geldmacher, J., </w:t>
      </w:r>
      <w:proofErr w:type="spellStart"/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Wartho</w:t>
      </w:r>
      <w:proofErr w:type="spellEnd"/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, J. -A., Hauff, F., </w:t>
      </w:r>
      <w:proofErr w:type="spellStart"/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Portnyagin</w:t>
      </w:r>
      <w:proofErr w:type="spellEnd"/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, M., Werner R., van den Bogaard, P., Garbe-</w:t>
      </w:r>
      <w:proofErr w:type="spellStart"/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Schönberg</w:t>
      </w:r>
      <w:proofErr w:type="spellEnd"/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, D., 2018</w:t>
      </w:r>
      <w:r w:rsidR="00877162"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Unexpected HIMU-type late-stage volcanism on the Walvis Ridge</w:t>
      </w:r>
      <w:r w:rsidR="00877162"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Earth and Planetary Science Letters 492, 251-263, </w:t>
      </w:r>
      <w:proofErr w:type="gramStart"/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doi:10.1016/j.epsl</w:t>
      </w:r>
      <w:proofErr w:type="gramEnd"/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.2018.03.049.</w:t>
      </w:r>
    </w:p>
    <w:p w14:paraId="7EF1A31F" w14:textId="5DCF8F34" w:rsidR="000E42F5" w:rsidRPr="005863DA" w:rsidRDefault="000E42F5" w:rsidP="005863DA">
      <w:pPr>
        <w:spacing w:before="120" w:after="120" w:line="240" w:lineRule="auto"/>
        <w:ind w:left="425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Homrighausen, S. Hoernle, K., Hauff, F., </w:t>
      </w:r>
      <w:proofErr w:type="spellStart"/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Wartho</w:t>
      </w:r>
      <w:proofErr w:type="spellEnd"/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, J. -A., van den Bogaard, P., Garbe-</w:t>
      </w:r>
      <w:proofErr w:type="spellStart"/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Schönberg</w:t>
      </w:r>
      <w:proofErr w:type="spellEnd"/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, D., 2019</w:t>
      </w:r>
      <w:r w:rsidR="00E1164C"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New age and geochemical data from the Walvis Ridge: The temporal and spatial diversity of South Atlantic intraplate volcanism and its possible origin</w:t>
      </w:r>
      <w:r w:rsidR="00E1164C"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proofErr w:type="spellStart"/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Geochemica</w:t>
      </w:r>
      <w:proofErr w:type="spellEnd"/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et </w:t>
      </w:r>
      <w:proofErr w:type="spellStart"/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Cosmochimica</w:t>
      </w:r>
      <w:proofErr w:type="spellEnd"/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Acta</w:t>
      </w:r>
      <w:r w:rsidR="00E1164C"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245, 16-34, </w:t>
      </w:r>
      <w:proofErr w:type="spellStart"/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doi</w:t>
      </w:r>
      <w:proofErr w:type="spellEnd"/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:</w:t>
      </w:r>
      <w:r w:rsidRPr="005863DA">
        <w:rPr>
          <w:rFonts w:ascii="Times New Roman" w:hAnsi="Times New Roman" w:cs="Times New Roman"/>
          <w:sz w:val="24"/>
          <w:szCs w:val="24"/>
        </w:rPr>
        <w:t xml:space="preserve"> </w:t>
      </w:r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10.1016/j.gca.2018.09.002.</w:t>
      </w:r>
    </w:p>
    <w:p w14:paraId="62FF30C5" w14:textId="005261F3" w:rsidR="00297DB5" w:rsidRPr="005863DA" w:rsidRDefault="00297DB5" w:rsidP="005863DA">
      <w:pPr>
        <w:spacing w:before="120" w:after="120" w:line="240" w:lineRule="auto"/>
        <w:ind w:left="425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Hoyer, P.A., Haase, K.M., </w:t>
      </w:r>
      <w:proofErr w:type="spellStart"/>
      <w:r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>Regelous</w:t>
      </w:r>
      <w:proofErr w:type="spellEnd"/>
      <w:r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>, M., O'Connor, J.M., Homrighausen, S., Geissler, W.H., Jokat, W., 2022a</w:t>
      </w:r>
      <w:r w:rsidR="00E1164C"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Mantle plume and rift-related volcanism during the evolution of the Rio Grande Rise</w:t>
      </w:r>
      <w:r w:rsidR="00E1164C"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Nature Communications Earth &amp; Environment</w:t>
      </w:r>
      <w:r w:rsidR="00E1164C"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3(18), 1-10, doi:10.1038/s43247-022-00349-1.</w:t>
      </w:r>
    </w:p>
    <w:p w14:paraId="72FEDBB1" w14:textId="77777777" w:rsidR="00297DB5" w:rsidRPr="005863DA" w:rsidRDefault="00297DB5" w:rsidP="005863DA">
      <w:pPr>
        <w:spacing w:before="120" w:after="120" w:line="240" w:lineRule="auto"/>
        <w:ind w:left="425" w:hanging="425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Hoyer, P.A., Haase, K.M., </w:t>
      </w:r>
      <w:proofErr w:type="spellStart"/>
      <w:r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>Regelous</w:t>
      </w:r>
      <w:proofErr w:type="spellEnd"/>
      <w:r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>, M., O'Connor, J.M., Homrighausen, S., Geissler, W.H., Jokat, W. 2022b. Major and trace element analyses of volcanic rocks from the Rio Grande Rise and Jean Charcot Seamount Chain, South Atlantic., Version 1.0: Interdisciplinary Earth Data Alliance</w:t>
      </w:r>
      <w:r w:rsidRPr="005863DA">
        <w:rPr>
          <w:rFonts w:ascii="Times New Roman" w:hAnsi="Times New Roman" w:cs="Times New Roman"/>
          <w:i/>
          <w:iCs/>
          <w:sz w:val="24"/>
          <w:szCs w:val="24"/>
          <w:shd w:val="clear" w:color="auto" w:fill="FFFFFF"/>
        </w:rPr>
        <w:t xml:space="preserve"> </w:t>
      </w:r>
      <w:r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>(IEDA), doi:</w:t>
      </w:r>
      <w:hyperlink r:id="rId14" w:history="1">
        <w:r w:rsidRPr="005863DA">
          <w:rPr>
            <w:rStyle w:val="Lienhypertexte"/>
            <w:rFonts w:ascii="Times New Roman" w:hAnsi="Times New Roman" w:cs="Times New Roman"/>
            <w:sz w:val="24"/>
            <w:szCs w:val="24"/>
            <w:shd w:val="clear" w:color="auto" w:fill="FFFFFF"/>
          </w:rPr>
          <w:t>10.26022/IEDA/112205.</w:t>
        </w:r>
      </w:hyperlink>
      <w:r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> Accessed on 04/03/2022.</w:t>
      </w:r>
    </w:p>
    <w:p w14:paraId="2AB903C0" w14:textId="60BC8F73" w:rsidR="00297DB5" w:rsidRPr="005863DA" w:rsidRDefault="00297DB5" w:rsidP="005863DA">
      <w:pPr>
        <w:spacing w:before="120" w:after="120" w:line="240" w:lineRule="auto"/>
        <w:ind w:left="425" w:hanging="425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>Le B</w:t>
      </w:r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as, </w:t>
      </w:r>
      <w:r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M.J., Le </w:t>
      </w:r>
      <w:proofErr w:type="spellStart"/>
      <w:r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>Maitre</w:t>
      </w:r>
      <w:proofErr w:type="spellEnd"/>
      <w:r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R.W., </w:t>
      </w:r>
      <w:proofErr w:type="spellStart"/>
      <w:r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>Streckeisen</w:t>
      </w:r>
      <w:proofErr w:type="spellEnd"/>
      <w:r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A., </w:t>
      </w:r>
      <w:proofErr w:type="spellStart"/>
      <w:r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>Zanettin</w:t>
      </w:r>
      <w:proofErr w:type="spellEnd"/>
      <w:r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B., IUGS </w:t>
      </w:r>
      <w:proofErr w:type="spellStart"/>
      <w:r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>Subcommission</w:t>
      </w:r>
      <w:proofErr w:type="spellEnd"/>
      <w:r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on the Systematics of Igneous Rocks, 1986</w:t>
      </w:r>
      <w:r w:rsidR="00E1164C"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A Chemical Classification of Volcanic Rocks Based on the Total Alkali-Silica Diagram</w:t>
      </w:r>
      <w:r w:rsidR="00E1164C"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5863DA">
        <w:rPr>
          <w:rStyle w:val="Accentuation"/>
          <w:rFonts w:ascii="Times New Roman" w:hAnsi="Times New Roman" w:cs="Times New Roman"/>
          <w:i w:val="0"/>
          <w:iCs w:val="0"/>
          <w:sz w:val="24"/>
          <w:szCs w:val="24"/>
          <w:bdr w:val="none" w:sz="0" w:space="0" w:color="auto" w:frame="1"/>
          <w:shd w:val="clear" w:color="auto" w:fill="FFFFFF"/>
        </w:rPr>
        <w:t>Journal of Petrology</w:t>
      </w:r>
      <w:r w:rsidR="00E1164C"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5863DA">
        <w:rPr>
          <w:rFonts w:ascii="Times New Roman" w:hAnsi="Times New Roman" w:cs="Times New Roman"/>
          <w:sz w:val="24"/>
          <w:szCs w:val="24"/>
          <w:shd w:val="clear" w:color="auto" w:fill="FFFFFF"/>
        </w:rPr>
        <w:t>27(3), 745–750, doi:10.1093/petrology/27.3.745.</w:t>
      </w:r>
    </w:p>
    <w:p w14:paraId="046546E8" w14:textId="2C7F11E5" w:rsidR="00297DB5" w:rsidRPr="005863DA" w:rsidRDefault="00297DB5" w:rsidP="005863DA">
      <w:pPr>
        <w:spacing w:before="120" w:after="120" w:line="240" w:lineRule="auto"/>
        <w:ind w:left="425" w:hanging="425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155071">
        <w:rPr>
          <w:rFonts w:ascii="Times New Roman" w:eastAsia="Arial" w:hAnsi="Times New Roman" w:cs="Times New Roman"/>
          <w:sz w:val="24"/>
          <w:szCs w:val="24"/>
        </w:rPr>
        <w:t>Mollo, S., Blundy, J.D., Iezzi, G., Scarlato, P., Langone, A., 2013</w:t>
      </w:r>
      <w:r w:rsidR="00E1164C" w:rsidRPr="00155071">
        <w:rPr>
          <w:rFonts w:ascii="Times New Roman" w:eastAsia="Arial" w:hAnsi="Times New Roman" w:cs="Times New Roman"/>
          <w:sz w:val="24"/>
          <w:szCs w:val="24"/>
        </w:rPr>
        <w:t>.</w:t>
      </w:r>
      <w:r w:rsidRPr="00155071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5863DA">
        <w:rPr>
          <w:rFonts w:ascii="Times New Roman" w:eastAsia="Arial" w:hAnsi="Times New Roman" w:cs="Times New Roman"/>
          <w:sz w:val="24"/>
          <w:szCs w:val="24"/>
        </w:rPr>
        <w:t xml:space="preserve">The partitioning of trace elements between clinopyroxene and </w:t>
      </w:r>
      <w:proofErr w:type="spellStart"/>
      <w:r w:rsidRPr="005863DA">
        <w:rPr>
          <w:rFonts w:ascii="Times New Roman" w:eastAsia="Arial" w:hAnsi="Times New Roman" w:cs="Times New Roman"/>
          <w:sz w:val="24"/>
          <w:szCs w:val="24"/>
        </w:rPr>
        <w:t>trachybasaltic</w:t>
      </w:r>
      <w:proofErr w:type="spellEnd"/>
      <w:r w:rsidRPr="005863DA">
        <w:rPr>
          <w:rFonts w:ascii="Times New Roman" w:eastAsia="Arial" w:hAnsi="Times New Roman" w:cs="Times New Roman"/>
          <w:sz w:val="24"/>
          <w:szCs w:val="24"/>
        </w:rPr>
        <w:t xml:space="preserve"> melt during rapid cooling and crystal growth. Contrib</w:t>
      </w:r>
      <w:r w:rsidR="00E1164C" w:rsidRPr="005863DA">
        <w:rPr>
          <w:rFonts w:ascii="Times New Roman" w:eastAsia="Arial" w:hAnsi="Times New Roman" w:cs="Times New Roman"/>
          <w:sz w:val="24"/>
          <w:szCs w:val="24"/>
        </w:rPr>
        <w:t>utions to</w:t>
      </w:r>
      <w:r w:rsidRPr="005863DA">
        <w:rPr>
          <w:rFonts w:ascii="Times New Roman" w:eastAsia="Arial" w:hAnsi="Times New Roman" w:cs="Times New Roman"/>
          <w:sz w:val="24"/>
          <w:szCs w:val="24"/>
        </w:rPr>
        <w:t xml:space="preserve"> Mineral</w:t>
      </w:r>
      <w:r w:rsidR="00E1164C" w:rsidRPr="005863DA">
        <w:rPr>
          <w:rFonts w:ascii="Times New Roman" w:eastAsia="Arial" w:hAnsi="Times New Roman" w:cs="Times New Roman"/>
          <w:sz w:val="24"/>
          <w:szCs w:val="24"/>
        </w:rPr>
        <w:t>ogy and</w:t>
      </w:r>
      <w:r w:rsidRPr="005863DA">
        <w:rPr>
          <w:rFonts w:ascii="Times New Roman" w:eastAsia="Arial" w:hAnsi="Times New Roman" w:cs="Times New Roman"/>
          <w:sz w:val="24"/>
          <w:szCs w:val="24"/>
        </w:rPr>
        <w:t xml:space="preserve"> Petrol</w:t>
      </w:r>
      <w:r w:rsidR="00E1164C" w:rsidRPr="005863DA">
        <w:rPr>
          <w:rFonts w:ascii="Times New Roman" w:eastAsia="Arial" w:hAnsi="Times New Roman" w:cs="Times New Roman"/>
          <w:sz w:val="24"/>
          <w:szCs w:val="24"/>
        </w:rPr>
        <w:t>ogy</w:t>
      </w:r>
      <w:r w:rsidRPr="005863DA">
        <w:rPr>
          <w:rFonts w:ascii="Times New Roman" w:eastAsia="Arial" w:hAnsi="Times New Roman" w:cs="Times New Roman"/>
          <w:sz w:val="24"/>
          <w:szCs w:val="24"/>
        </w:rPr>
        <w:t xml:space="preserve"> 2013 166, 1633–1654, </w:t>
      </w:r>
      <w:proofErr w:type="spellStart"/>
      <w:r w:rsidRPr="005863DA">
        <w:rPr>
          <w:rFonts w:ascii="Times New Roman" w:eastAsia="Arial" w:hAnsi="Times New Roman" w:cs="Times New Roman"/>
          <w:sz w:val="24"/>
          <w:szCs w:val="24"/>
        </w:rPr>
        <w:t>doi</w:t>
      </w:r>
      <w:proofErr w:type="spellEnd"/>
      <w:r w:rsidRPr="005863DA">
        <w:rPr>
          <w:rFonts w:ascii="Times New Roman" w:eastAsia="Arial" w:hAnsi="Times New Roman" w:cs="Times New Roman"/>
          <w:sz w:val="24"/>
          <w:szCs w:val="24"/>
        </w:rPr>
        <w:t>:</w:t>
      </w:r>
      <w:r w:rsidRPr="005863DA">
        <w:rPr>
          <w:rFonts w:ascii="Times New Roman" w:hAnsi="Times New Roman" w:cs="Times New Roman"/>
          <w:sz w:val="24"/>
          <w:szCs w:val="24"/>
        </w:rPr>
        <w:t xml:space="preserve"> </w:t>
      </w:r>
      <w:r w:rsidRPr="005863DA">
        <w:rPr>
          <w:rFonts w:ascii="Times New Roman" w:eastAsia="Arial" w:hAnsi="Times New Roman" w:cs="Times New Roman"/>
          <w:sz w:val="24"/>
          <w:szCs w:val="24"/>
        </w:rPr>
        <w:t xml:space="preserve">10.1007/s00410-013-0946-6. </w:t>
      </w:r>
    </w:p>
    <w:p w14:paraId="70F60104" w14:textId="6883A673" w:rsidR="00A36397" w:rsidRPr="005863DA" w:rsidRDefault="00A36397" w:rsidP="005863DA">
      <w:pPr>
        <w:spacing w:before="120" w:after="120" w:line="240" w:lineRule="auto"/>
        <w:ind w:left="425" w:hanging="425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5863DA">
        <w:rPr>
          <w:rFonts w:ascii="Times New Roman" w:eastAsia="Arial" w:hAnsi="Times New Roman" w:cs="Times New Roman"/>
          <w:sz w:val="24"/>
          <w:szCs w:val="24"/>
        </w:rPr>
        <w:t xml:space="preserve">Morimoto, N., </w:t>
      </w:r>
      <w:proofErr w:type="spellStart"/>
      <w:r w:rsidRPr="005863DA">
        <w:rPr>
          <w:rFonts w:ascii="Times New Roman" w:eastAsia="Arial" w:hAnsi="Times New Roman" w:cs="Times New Roman"/>
          <w:sz w:val="24"/>
          <w:szCs w:val="24"/>
        </w:rPr>
        <w:t>Fabries</w:t>
      </w:r>
      <w:proofErr w:type="spellEnd"/>
      <w:r w:rsidRPr="005863DA">
        <w:rPr>
          <w:rFonts w:ascii="Times New Roman" w:eastAsia="Arial" w:hAnsi="Times New Roman" w:cs="Times New Roman"/>
          <w:sz w:val="24"/>
          <w:szCs w:val="24"/>
        </w:rPr>
        <w:t>, J., Ferguson, A.K., Ginzburg, I. V., Ross, M., Seifert, F. A., Zussman, J., Aoki, K., Gottardi, G., 1988</w:t>
      </w:r>
      <w:r w:rsidR="00E1164C" w:rsidRPr="005863DA">
        <w:rPr>
          <w:rFonts w:ascii="Times New Roman" w:eastAsia="Arial" w:hAnsi="Times New Roman" w:cs="Times New Roman"/>
          <w:sz w:val="24"/>
          <w:szCs w:val="24"/>
        </w:rPr>
        <w:t xml:space="preserve">. </w:t>
      </w:r>
      <w:r w:rsidRPr="005863DA">
        <w:rPr>
          <w:rFonts w:ascii="Times New Roman" w:eastAsia="Arial" w:hAnsi="Times New Roman" w:cs="Times New Roman"/>
          <w:sz w:val="24"/>
          <w:szCs w:val="24"/>
        </w:rPr>
        <w:t>Nomenclature of pyroxenes</w:t>
      </w:r>
      <w:r w:rsidR="00E1164C" w:rsidRPr="005863DA">
        <w:rPr>
          <w:rFonts w:ascii="Times New Roman" w:eastAsia="Arial" w:hAnsi="Times New Roman" w:cs="Times New Roman"/>
          <w:sz w:val="24"/>
          <w:szCs w:val="24"/>
        </w:rPr>
        <w:t>.</w:t>
      </w:r>
      <w:r w:rsidRPr="005863DA">
        <w:rPr>
          <w:rFonts w:ascii="Times New Roman" w:eastAsia="Arial" w:hAnsi="Times New Roman" w:cs="Times New Roman"/>
          <w:sz w:val="24"/>
          <w:szCs w:val="24"/>
        </w:rPr>
        <w:t xml:space="preserve"> American Mineralogist</w:t>
      </w:r>
      <w:r w:rsidR="00E1164C" w:rsidRPr="005863DA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5863DA">
        <w:rPr>
          <w:rFonts w:ascii="Times New Roman" w:eastAsia="Arial" w:hAnsi="Times New Roman" w:cs="Times New Roman"/>
          <w:sz w:val="24"/>
          <w:szCs w:val="24"/>
        </w:rPr>
        <w:t>73,</w:t>
      </w:r>
      <w:r w:rsidR="00E1164C" w:rsidRPr="005863DA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5863DA">
        <w:rPr>
          <w:rFonts w:ascii="Times New Roman" w:eastAsia="Arial" w:hAnsi="Times New Roman" w:cs="Times New Roman"/>
          <w:sz w:val="24"/>
          <w:szCs w:val="24"/>
        </w:rPr>
        <w:t xml:space="preserve">1123-1133, </w:t>
      </w:r>
      <w:proofErr w:type="spellStart"/>
      <w:r w:rsidRPr="005863DA">
        <w:rPr>
          <w:rFonts w:ascii="Times New Roman" w:eastAsia="Arial" w:hAnsi="Times New Roman" w:cs="Times New Roman"/>
          <w:sz w:val="24"/>
          <w:szCs w:val="24"/>
        </w:rPr>
        <w:t>doi</w:t>
      </w:r>
      <w:proofErr w:type="spellEnd"/>
      <w:r w:rsidRPr="005863DA">
        <w:rPr>
          <w:rFonts w:ascii="Times New Roman" w:eastAsia="Arial" w:hAnsi="Times New Roman" w:cs="Times New Roman"/>
          <w:sz w:val="24"/>
          <w:szCs w:val="24"/>
        </w:rPr>
        <w:t>:</w:t>
      </w:r>
      <w:r w:rsidRPr="005863DA">
        <w:rPr>
          <w:rFonts w:ascii="Times New Roman" w:hAnsi="Times New Roman" w:cs="Times New Roman"/>
          <w:sz w:val="24"/>
          <w:szCs w:val="24"/>
        </w:rPr>
        <w:t xml:space="preserve"> </w:t>
      </w:r>
      <w:r w:rsidRPr="005863DA">
        <w:rPr>
          <w:rFonts w:ascii="Times New Roman" w:eastAsia="Arial" w:hAnsi="Times New Roman" w:cs="Times New Roman"/>
          <w:sz w:val="24"/>
          <w:szCs w:val="24"/>
        </w:rPr>
        <w:t>10.1007/BF01226262.</w:t>
      </w:r>
    </w:p>
    <w:p w14:paraId="052B1E60" w14:textId="77777777" w:rsidR="00D87C15" w:rsidRPr="005863DA" w:rsidRDefault="00D87C15" w:rsidP="005863DA">
      <w:pPr>
        <w:spacing w:before="120" w:after="120" w:line="240" w:lineRule="auto"/>
        <w:ind w:left="425" w:hanging="425"/>
        <w:jc w:val="both"/>
        <w:rPr>
          <w:rFonts w:ascii="Times New Roman" w:hAnsi="Times New Roman" w:cs="Times New Roman"/>
          <w:sz w:val="24"/>
          <w:szCs w:val="24"/>
        </w:rPr>
      </w:pPr>
      <w:bookmarkStart w:id="0" w:name="_Hlk149063711"/>
      <w:r w:rsidRPr="005863DA">
        <w:rPr>
          <w:rFonts w:ascii="Times New Roman" w:hAnsi="Times New Roman" w:cs="Times New Roman"/>
          <w:sz w:val="24"/>
          <w:szCs w:val="24"/>
        </w:rPr>
        <w:t xml:space="preserve">Pearce, J.A., 1996. A user’s guide to basalt discrimination diagrams, in: Wyman, D.A. (Ed.), Trace Element Geochemistry of Volcanic Rocks: Applications for Massive </w:t>
      </w:r>
      <w:proofErr w:type="spellStart"/>
      <w:r w:rsidRPr="005863DA">
        <w:rPr>
          <w:rFonts w:ascii="Times New Roman" w:hAnsi="Times New Roman" w:cs="Times New Roman"/>
          <w:sz w:val="24"/>
          <w:szCs w:val="24"/>
        </w:rPr>
        <w:t>Sulphide</w:t>
      </w:r>
      <w:proofErr w:type="spellEnd"/>
      <w:r w:rsidRPr="005863DA">
        <w:rPr>
          <w:rFonts w:ascii="Times New Roman" w:hAnsi="Times New Roman" w:cs="Times New Roman"/>
          <w:sz w:val="24"/>
          <w:szCs w:val="24"/>
        </w:rPr>
        <w:t xml:space="preserve"> Exploration. Short Course Notes 12, Geological Association of Canada, pp. 79–113.</w:t>
      </w:r>
    </w:p>
    <w:p w14:paraId="616EE37C" w14:textId="77777777" w:rsidR="00D87C15" w:rsidRPr="005863DA" w:rsidRDefault="00D87C15" w:rsidP="005863DA">
      <w:pPr>
        <w:spacing w:before="120" w:after="120" w:line="240" w:lineRule="auto"/>
        <w:ind w:left="432" w:hanging="432"/>
        <w:jc w:val="both"/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</w:pPr>
      <w:bookmarkStart w:id="1" w:name="_Hlk149063689"/>
      <w:bookmarkEnd w:id="0"/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Rhodes, J.M., Dungan, M.A., Blanchard, D.P., Long, P.E., 1979. Magma mixing at mid-ocean ridges: Evidence from basalts drilled near 228 N on the Mid-Atlantic Ridge. Tectonophysics 55, 35–61, </w:t>
      </w:r>
      <w:proofErr w:type="spellStart"/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doi</w:t>
      </w:r>
      <w:proofErr w:type="spellEnd"/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:</w:t>
      </w:r>
      <w:r w:rsidRPr="005863DA">
        <w:rPr>
          <w:rFonts w:ascii="Times New Roman" w:hAnsi="Times New Roman" w:cs="Times New Roman"/>
          <w:sz w:val="24"/>
          <w:szCs w:val="24"/>
        </w:rPr>
        <w:t xml:space="preserve"> </w:t>
      </w:r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10.1016/0040-1951(79)90334-2.</w:t>
      </w:r>
    </w:p>
    <w:p w14:paraId="0F2E2860" w14:textId="77777777" w:rsidR="00D87C15" w:rsidRPr="005863DA" w:rsidRDefault="00D87C15" w:rsidP="005863DA">
      <w:pPr>
        <w:spacing w:before="120" w:after="120" w:line="240" w:lineRule="auto"/>
        <w:ind w:left="432" w:hanging="432"/>
        <w:jc w:val="both"/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</w:pPr>
      <w:bookmarkStart w:id="2" w:name="_Hlk149063726"/>
      <w:bookmarkEnd w:id="1"/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Richardson, S.H., </w:t>
      </w:r>
      <w:proofErr w:type="spellStart"/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Erlank</w:t>
      </w:r>
      <w:proofErr w:type="spellEnd"/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, A.J., Duncan, A. R., Reid D.L., 1982. Correlated Nd, Sr and Pb isotope variation in Walvis Ridge basalts and implications for the evolution of their mantle source. Earth and Planetary Science Letters 59, 327-342, doi:10.1016/0012-821</w:t>
      </w:r>
      <w:proofErr w:type="gramStart"/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X(</w:t>
      </w:r>
      <w:proofErr w:type="gramEnd"/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82)90135-2.</w:t>
      </w:r>
    </w:p>
    <w:p w14:paraId="0FC16AA0" w14:textId="77777777" w:rsidR="00D87C15" w:rsidRPr="005863DA" w:rsidRDefault="00D87C15" w:rsidP="005863DA">
      <w:pPr>
        <w:spacing w:before="120" w:after="12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bookmarkStart w:id="3" w:name="_Hlk149063737"/>
      <w:bookmarkEnd w:id="2"/>
      <w:r w:rsidRPr="005863DA">
        <w:rPr>
          <w:rFonts w:ascii="Times New Roman" w:hAnsi="Times New Roman" w:cs="Times New Roman"/>
          <w:sz w:val="24"/>
          <w:szCs w:val="24"/>
          <w:lang w:val="en-GB"/>
        </w:rPr>
        <w:t>Rohde, J., Hoernle, K., Hauff, F., Werner, R., O’Connor, J., Class, C., Garbe-</w:t>
      </w:r>
      <w:proofErr w:type="spellStart"/>
      <w:r w:rsidRPr="005863DA">
        <w:rPr>
          <w:rFonts w:ascii="Times New Roman" w:hAnsi="Times New Roman" w:cs="Times New Roman"/>
          <w:sz w:val="24"/>
          <w:szCs w:val="24"/>
          <w:lang w:val="en-GB"/>
        </w:rPr>
        <w:t>Schönberg</w:t>
      </w:r>
      <w:proofErr w:type="spellEnd"/>
      <w:r w:rsidRPr="005863DA">
        <w:rPr>
          <w:rFonts w:ascii="Times New Roman" w:hAnsi="Times New Roman" w:cs="Times New Roman"/>
          <w:sz w:val="24"/>
          <w:szCs w:val="24"/>
          <w:lang w:val="en-GB"/>
        </w:rPr>
        <w:t xml:space="preserve">, D., Jokat, W., 2013a. 70 Ma chemical zonation of the Tristan-Gough hotspot track. </w:t>
      </w:r>
      <w:r w:rsidRPr="005863DA">
        <w:rPr>
          <w:rFonts w:ascii="Times New Roman" w:hAnsi="Times New Roman" w:cs="Times New Roman"/>
          <w:sz w:val="24"/>
          <w:szCs w:val="24"/>
        </w:rPr>
        <w:t>Geology 41, 335-338, doi:10.1130/G33790.1.</w:t>
      </w:r>
    </w:p>
    <w:bookmarkEnd w:id="3"/>
    <w:p w14:paraId="0837F5C0" w14:textId="6F0882C1" w:rsidR="00A36397" w:rsidRPr="005863DA" w:rsidRDefault="00A36397" w:rsidP="005863DA">
      <w:pPr>
        <w:spacing w:before="120" w:after="120" w:line="240" w:lineRule="auto"/>
        <w:ind w:left="425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Smith, J.V., Brown, W.L., 1988</w:t>
      </w:r>
      <w:r w:rsidR="005325F5"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Feldspar Minerals vol. 1, Crystal Structure, Physical, Chemical and Microtextural Properties</w:t>
      </w:r>
      <w:r w:rsidR="005325F5"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, s</w:t>
      </w:r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econd </w:t>
      </w:r>
      <w:r w:rsidR="005325F5"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r</w:t>
      </w:r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evised and </w:t>
      </w:r>
      <w:r w:rsidR="005325F5"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e</w:t>
      </w:r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xtended </w:t>
      </w:r>
      <w:r w:rsidR="005325F5"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e</w:t>
      </w:r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d</w:t>
      </w:r>
      <w:r w:rsidR="005325F5"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.,</w:t>
      </w:r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Springer-Verlag., </w:t>
      </w:r>
      <w:r w:rsidR="005325F5"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Berlin</w:t>
      </w:r>
      <w:r w:rsidRPr="005863DA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</w:p>
    <w:p w14:paraId="11CA1B53" w14:textId="655E22A1" w:rsidR="00A36397" w:rsidRPr="005863DA" w:rsidRDefault="00A36397" w:rsidP="005863DA">
      <w:pPr>
        <w:spacing w:before="120" w:after="120" w:line="240" w:lineRule="auto"/>
        <w:ind w:left="425" w:hanging="425"/>
        <w:jc w:val="both"/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</w:pPr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lastRenderedPageBreak/>
        <w:t>Winchester, J. A., Floyd, P. A., 1977</w:t>
      </w:r>
      <w:r w:rsidR="00550F66"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.</w:t>
      </w:r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 Geochemical discrimination of different magma series and their differentiation products using immobile elements</w:t>
      </w:r>
      <w:r w:rsidR="00550F66"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.</w:t>
      </w:r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 Chemical Geology</w:t>
      </w:r>
      <w:r w:rsidR="00550F66"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 xml:space="preserve"> </w:t>
      </w:r>
      <w:r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20, 325-343</w:t>
      </w:r>
      <w:r w:rsidR="00550F66" w:rsidRPr="005863DA">
        <w:rPr>
          <w:rFonts w:ascii="Times New Roman" w:eastAsia="Times New Roman" w:hAnsi="Times New Roman" w:cs="Times New Roman"/>
          <w:sz w:val="24"/>
          <w:szCs w:val="24"/>
          <w:lang w:val="en-GB" w:eastAsia="en-GB"/>
        </w:rPr>
        <w:t>, doi:10.1016/0009-2541(77)90057-2.</w:t>
      </w:r>
    </w:p>
    <w:p w14:paraId="7C0379BE" w14:textId="77777777" w:rsidR="00377E0D" w:rsidRPr="005863DA" w:rsidRDefault="00377E0D" w:rsidP="005863DA">
      <w:pPr>
        <w:spacing w:before="120"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377E0D" w:rsidRPr="005863DA" w:rsidSect="00F1596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72F9D29" w14:textId="77777777" w:rsidR="00A4784C" w:rsidRDefault="00A4784C" w:rsidP="00A50B1A">
      <w:pPr>
        <w:spacing w:after="0" w:line="240" w:lineRule="auto"/>
      </w:pPr>
      <w:r>
        <w:separator/>
      </w:r>
    </w:p>
  </w:endnote>
  <w:endnote w:type="continuationSeparator" w:id="0">
    <w:p w14:paraId="7FDAF6CE" w14:textId="77777777" w:rsidR="00A4784C" w:rsidRDefault="00A4784C" w:rsidP="00A50B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668BB12" w14:textId="77777777" w:rsidR="00A4784C" w:rsidRDefault="00A4784C" w:rsidP="00A50B1A">
      <w:pPr>
        <w:spacing w:after="0" w:line="240" w:lineRule="auto"/>
      </w:pPr>
      <w:r>
        <w:separator/>
      </w:r>
    </w:p>
  </w:footnote>
  <w:footnote w:type="continuationSeparator" w:id="0">
    <w:p w14:paraId="6CF893BD" w14:textId="77777777" w:rsidR="00A4784C" w:rsidRDefault="00A4784C" w:rsidP="00A50B1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4046"/>
    <w:rsid w:val="00001F1C"/>
    <w:rsid w:val="0000482D"/>
    <w:rsid w:val="000048C6"/>
    <w:rsid w:val="00056F39"/>
    <w:rsid w:val="00093398"/>
    <w:rsid w:val="000B0F46"/>
    <w:rsid w:val="000D460C"/>
    <w:rsid w:val="000E1D36"/>
    <w:rsid w:val="000E42F5"/>
    <w:rsid w:val="000E48D4"/>
    <w:rsid w:val="0010540F"/>
    <w:rsid w:val="00107007"/>
    <w:rsid w:val="001221AA"/>
    <w:rsid w:val="0012725E"/>
    <w:rsid w:val="00143BA3"/>
    <w:rsid w:val="001500B3"/>
    <w:rsid w:val="00155071"/>
    <w:rsid w:val="001625E4"/>
    <w:rsid w:val="00164DB2"/>
    <w:rsid w:val="00166B95"/>
    <w:rsid w:val="001E6741"/>
    <w:rsid w:val="00215868"/>
    <w:rsid w:val="002366BC"/>
    <w:rsid w:val="0024323C"/>
    <w:rsid w:val="00252F83"/>
    <w:rsid w:val="002869EB"/>
    <w:rsid w:val="00293778"/>
    <w:rsid w:val="00297DB5"/>
    <w:rsid w:val="002B30A7"/>
    <w:rsid w:val="002B73C7"/>
    <w:rsid w:val="002E7C75"/>
    <w:rsid w:val="003163A5"/>
    <w:rsid w:val="00322182"/>
    <w:rsid w:val="00331AE3"/>
    <w:rsid w:val="003340B5"/>
    <w:rsid w:val="00354046"/>
    <w:rsid w:val="00377E0D"/>
    <w:rsid w:val="003A15D3"/>
    <w:rsid w:val="003A4FBD"/>
    <w:rsid w:val="003C3C07"/>
    <w:rsid w:val="003D6845"/>
    <w:rsid w:val="003E4093"/>
    <w:rsid w:val="003F0E51"/>
    <w:rsid w:val="004B03BB"/>
    <w:rsid w:val="004C69A7"/>
    <w:rsid w:val="004C78B9"/>
    <w:rsid w:val="004E4E81"/>
    <w:rsid w:val="005325F5"/>
    <w:rsid w:val="005364C4"/>
    <w:rsid w:val="00550F66"/>
    <w:rsid w:val="00551C6D"/>
    <w:rsid w:val="00553A72"/>
    <w:rsid w:val="005636D9"/>
    <w:rsid w:val="0056626A"/>
    <w:rsid w:val="00576D78"/>
    <w:rsid w:val="005863DA"/>
    <w:rsid w:val="005A11B3"/>
    <w:rsid w:val="005B046A"/>
    <w:rsid w:val="005E47AB"/>
    <w:rsid w:val="005F4902"/>
    <w:rsid w:val="005F5CFC"/>
    <w:rsid w:val="00640574"/>
    <w:rsid w:val="00651713"/>
    <w:rsid w:val="0066507C"/>
    <w:rsid w:val="00683B54"/>
    <w:rsid w:val="006B260E"/>
    <w:rsid w:val="006C0C8A"/>
    <w:rsid w:val="006C0EC7"/>
    <w:rsid w:val="006E3D9C"/>
    <w:rsid w:val="006F669F"/>
    <w:rsid w:val="00726EED"/>
    <w:rsid w:val="007650DD"/>
    <w:rsid w:val="0077010D"/>
    <w:rsid w:val="00795C36"/>
    <w:rsid w:val="007C57B4"/>
    <w:rsid w:val="007D0D1C"/>
    <w:rsid w:val="007D42AF"/>
    <w:rsid w:val="007D5247"/>
    <w:rsid w:val="007D712C"/>
    <w:rsid w:val="007F281D"/>
    <w:rsid w:val="00800CB8"/>
    <w:rsid w:val="0082540B"/>
    <w:rsid w:val="00830D7B"/>
    <w:rsid w:val="00832D89"/>
    <w:rsid w:val="008615BD"/>
    <w:rsid w:val="00863E27"/>
    <w:rsid w:val="00877162"/>
    <w:rsid w:val="008B1E10"/>
    <w:rsid w:val="008B61C7"/>
    <w:rsid w:val="008D769C"/>
    <w:rsid w:val="008F37F5"/>
    <w:rsid w:val="00912C8E"/>
    <w:rsid w:val="009438F6"/>
    <w:rsid w:val="00961B8F"/>
    <w:rsid w:val="009E6038"/>
    <w:rsid w:val="009F3ACD"/>
    <w:rsid w:val="009F6CF4"/>
    <w:rsid w:val="00A30936"/>
    <w:rsid w:val="00A319A3"/>
    <w:rsid w:val="00A36397"/>
    <w:rsid w:val="00A4784C"/>
    <w:rsid w:val="00A50B1A"/>
    <w:rsid w:val="00A605EB"/>
    <w:rsid w:val="00A77530"/>
    <w:rsid w:val="00A83157"/>
    <w:rsid w:val="00AB51AB"/>
    <w:rsid w:val="00AC2581"/>
    <w:rsid w:val="00AC614A"/>
    <w:rsid w:val="00AD40ED"/>
    <w:rsid w:val="00AD7B82"/>
    <w:rsid w:val="00AE6996"/>
    <w:rsid w:val="00AF0E88"/>
    <w:rsid w:val="00B1086A"/>
    <w:rsid w:val="00B1455F"/>
    <w:rsid w:val="00B3497E"/>
    <w:rsid w:val="00B469F5"/>
    <w:rsid w:val="00B84BCF"/>
    <w:rsid w:val="00B85E49"/>
    <w:rsid w:val="00B87D47"/>
    <w:rsid w:val="00B94089"/>
    <w:rsid w:val="00BB2DFA"/>
    <w:rsid w:val="00BE38F6"/>
    <w:rsid w:val="00C0679C"/>
    <w:rsid w:val="00C5421C"/>
    <w:rsid w:val="00D007C1"/>
    <w:rsid w:val="00D1741D"/>
    <w:rsid w:val="00D214C1"/>
    <w:rsid w:val="00D2770C"/>
    <w:rsid w:val="00D54D13"/>
    <w:rsid w:val="00D55F0D"/>
    <w:rsid w:val="00D74B29"/>
    <w:rsid w:val="00D7725A"/>
    <w:rsid w:val="00D87C15"/>
    <w:rsid w:val="00D907B2"/>
    <w:rsid w:val="00DA1BCA"/>
    <w:rsid w:val="00E05BCA"/>
    <w:rsid w:val="00E1164C"/>
    <w:rsid w:val="00E15D12"/>
    <w:rsid w:val="00E356C6"/>
    <w:rsid w:val="00E402F2"/>
    <w:rsid w:val="00E619EC"/>
    <w:rsid w:val="00E628DC"/>
    <w:rsid w:val="00E62A8F"/>
    <w:rsid w:val="00E81E42"/>
    <w:rsid w:val="00E868FF"/>
    <w:rsid w:val="00EA5B5E"/>
    <w:rsid w:val="00EB7B7A"/>
    <w:rsid w:val="00EC0F75"/>
    <w:rsid w:val="00EE3356"/>
    <w:rsid w:val="00F15964"/>
    <w:rsid w:val="00F17536"/>
    <w:rsid w:val="00F346F8"/>
    <w:rsid w:val="00F60776"/>
    <w:rsid w:val="00F9405C"/>
    <w:rsid w:val="00FC1DE9"/>
    <w:rsid w:val="00FF20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A8E619"/>
  <w15:chartTrackingRefBased/>
  <w15:docId w15:val="{4FEC3DAD-29A5-4DA7-8B4B-0C27CBE445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US" w:eastAsia="ko-KR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Marquedecommentaire">
    <w:name w:val="annotation reference"/>
    <w:basedOn w:val="Policepardfaut"/>
    <w:uiPriority w:val="99"/>
    <w:semiHidden/>
    <w:unhideWhenUsed/>
    <w:rsid w:val="00B84BCF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B84BCF"/>
    <w:pPr>
      <w:spacing w:line="240" w:lineRule="auto"/>
    </w:pPr>
    <w:rPr>
      <w:rFonts w:eastAsiaTheme="minorHAnsi"/>
      <w:kern w:val="0"/>
      <w:sz w:val="20"/>
      <w:szCs w:val="20"/>
      <w:lang w:val="pt-BR" w:eastAsia="en-US"/>
      <w14:ligatures w14:val="none"/>
    </w:rPr>
  </w:style>
  <w:style w:type="character" w:customStyle="1" w:styleId="CommentaireCar">
    <w:name w:val="Commentaire Car"/>
    <w:basedOn w:val="Policepardfaut"/>
    <w:link w:val="Commentaire"/>
    <w:uiPriority w:val="99"/>
    <w:rsid w:val="00B84BCF"/>
    <w:rPr>
      <w:rFonts w:eastAsiaTheme="minorHAnsi"/>
      <w:kern w:val="0"/>
      <w:sz w:val="20"/>
      <w:szCs w:val="20"/>
      <w:lang w:val="pt-BR" w:eastAsia="en-US"/>
      <w14:ligatures w14:val="none"/>
    </w:rPr>
  </w:style>
  <w:style w:type="paragraph" w:styleId="En-tte">
    <w:name w:val="header"/>
    <w:basedOn w:val="Normal"/>
    <w:link w:val="En-tteCar"/>
    <w:uiPriority w:val="99"/>
    <w:unhideWhenUsed/>
    <w:rsid w:val="00A50B1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A50B1A"/>
  </w:style>
  <w:style w:type="paragraph" w:styleId="Pieddepage">
    <w:name w:val="footer"/>
    <w:basedOn w:val="Normal"/>
    <w:link w:val="PieddepageCar"/>
    <w:uiPriority w:val="99"/>
    <w:unhideWhenUsed/>
    <w:rsid w:val="00A50B1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50B1A"/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2B73C7"/>
    <w:rPr>
      <w:rFonts w:eastAsiaTheme="minorEastAsia"/>
      <w:b/>
      <w:bCs/>
      <w:kern w:val="2"/>
      <w:lang w:val="en-US" w:eastAsia="ko-KR"/>
      <w14:ligatures w14:val="standardContextual"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2B73C7"/>
    <w:rPr>
      <w:rFonts w:eastAsiaTheme="minorHAnsi"/>
      <w:b/>
      <w:bCs/>
      <w:kern w:val="0"/>
      <w:sz w:val="20"/>
      <w:szCs w:val="20"/>
      <w:lang w:val="pt-BR" w:eastAsia="en-US"/>
      <w14:ligatures w14:val="none"/>
    </w:rPr>
  </w:style>
  <w:style w:type="character" w:styleId="Lienhypertexte">
    <w:name w:val="Hyperlink"/>
    <w:basedOn w:val="Policepardfaut"/>
    <w:uiPriority w:val="99"/>
    <w:unhideWhenUsed/>
    <w:rsid w:val="00297DB5"/>
    <w:rPr>
      <w:color w:val="0563C1" w:themeColor="hyperlink"/>
      <w:u w:val="single"/>
    </w:rPr>
  </w:style>
  <w:style w:type="character" w:styleId="Accentuation">
    <w:name w:val="Emphasis"/>
    <w:basedOn w:val="Policepardfaut"/>
    <w:uiPriority w:val="20"/>
    <w:qFormat/>
    <w:rsid w:val="00297DB5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84689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1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yperlink" Target="https://doi.org/10.26022/IEDA/112205.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10</Pages>
  <Words>1003</Words>
  <Characters>5522</Characters>
  <Application>Microsoft Office Word</Application>
  <DocSecurity>0</DocSecurity>
  <Lines>46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Júlia Guerra</dc:creator>
  <cp:keywords/>
  <dc:description/>
  <cp:lastModifiedBy>Matthias GIMENEZ</cp:lastModifiedBy>
  <cp:revision>62</cp:revision>
  <dcterms:created xsi:type="dcterms:W3CDTF">2024-10-19T17:33:00Z</dcterms:created>
  <dcterms:modified xsi:type="dcterms:W3CDTF">2025-01-03T21:35:00Z</dcterms:modified>
</cp:coreProperties>
</file>